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825"/>
        </w:tabs>
        <w:rPr>
          <w:rFonts w:hint="eastAsia"/>
          <w:b/>
          <w:lang w:val="en-US" w:eastAsia="zh-CN"/>
        </w:rPr>
      </w:pPr>
    </w:p>
    <w:p>
      <w:pPr>
        <w:tabs>
          <w:tab w:val="left" w:pos="825"/>
        </w:tabs>
        <w:rPr>
          <w:lang w:val="en-GB"/>
        </w:rPr>
      </w:pPr>
      <w:r>
        <w:rPr>
          <w:rFonts w:hint="eastAsia"/>
          <w:b/>
          <w:lang w:val="en-US" w:eastAsia="zh-CN"/>
        </w:rPr>
        <w:t>Additional</w:t>
      </w:r>
      <w:r>
        <w:rPr>
          <w:b/>
        </w:rPr>
        <w:t xml:space="preserve"> Table 2. </w:t>
      </w:r>
      <w:r>
        <w:rPr>
          <w:b/>
          <w:lang w:val="en-GB"/>
        </w:rPr>
        <w:t>Assessment of study quality using Cochrane risk-of-bias algorithm for controlled trials.</w:t>
      </w:r>
    </w:p>
    <w:tbl>
      <w:tblPr>
        <w:tblStyle w:val="5"/>
        <w:tblW w:w="1337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4"/>
        <w:gridCol w:w="1682"/>
        <w:gridCol w:w="2138"/>
        <w:gridCol w:w="1841"/>
        <w:gridCol w:w="1805"/>
        <w:gridCol w:w="1915"/>
        <w:gridCol w:w="18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2154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tabs>
                <w:tab w:val="left" w:pos="825"/>
              </w:tabs>
              <w:jc w:val="center"/>
              <w:rPr>
                <w:lang w:val="en-GB"/>
              </w:rPr>
            </w:pPr>
            <w:r>
              <w:rPr>
                <w:rFonts w:hint="eastAsia"/>
                <w:lang w:val="en-GB"/>
              </w:rPr>
              <w:t>Author, year</w:t>
            </w:r>
          </w:p>
        </w:tc>
        <w:tc>
          <w:tcPr>
            <w:tcW w:w="1682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tabs>
                <w:tab w:val="left" w:pos="825"/>
              </w:tabs>
              <w:jc w:val="center"/>
              <w:rPr>
                <w:lang w:val="en-GB"/>
              </w:rPr>
            </w:pPr>
            <w:r>
              <w:rPr>
                <w:lang w:val="en-GB"/>
              </w:rPr>
              <w:t>SELECTION BIAS</w:t>
            </w:r>
          </w:p>
        </w:tc>
        <w:tc>
          <w:tcPr>
            <w:tcW w:w="2138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tabs>
                <w:tab w:val="left" w:pos="825"/>
              </w:tabs>
              <w:jc w:val="center"/>
              <w:rPr>
                <w:lang w:val="en-GB"/>
              </w:rPr>
            </w:pPr>
            <w:r>
              <w:rPr>
                <w:lang w:val="en-GB"/>
              </w:rPr>
              <w:t>PERFORMANCE</w:t>
            </w:r>
            <w:r>
              <w:rPr>
                <w:rFonts w:hint="eastAsia"/>
                <w:lang w:val="en-GB"/>
              </w:rPr>
              <w:t xml:space="preserve"> </w:t>
            </w:r>
            <w:r>
              <w:rPr>
                <w:lang w:val="en-GB"/>
              </w:rPr>
              <w:t>BIAS</w:t>
            </w:r>
          </w:p>
        </w:tc>
        <w:tc>
          <w:tcPr>
            <w:tcW w:w="1841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tabs>
                <w:tab w:val="left" w:pos="825"/>
              </w:tabs>
              <w:jc w:val="center"/>
              <w:rPr>
                <w:lang w:val="en-GB"/>
              </w:rPr>
            </w:pPr>
            <w:r>
              <w:rPr>
                <w:lang w:val="en-GB"/>
              </w:rPr>
              <w:t>DETECTION</w:t>
            </w:r>
            <w:r>
              <w:rPr>
                <w:rFonts w:hint="eastAsia"/>
                <w:lang w:val="en-GB"/>
              </w:rPr>
              <w:t xml:space="preserve"> </w:t>
            </w:r>
            <w:r>
              <w:rPr>
                <w:lang w:val="en-GB"/>
              </w:rPr>
              <w:t>BIAS</w:t>
            </w:r>
          </w:p>
        </w:tc>
        <w:tc>
          <w:tcPr>
            <w:tcW w:w="1805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tabs>
                <w:tab w:val="left" w:pos="825"/>
              </w:tabs>
              <w:jc w:val="center"/>
              <w:rPr>
                <w:lang w:val="en-GB"/>
              </w:rPr>
            </w:pPr>
            <w:r>
              <w:rPr>
                <w:lang w:val="en-GB"/>
              </w:rPr>
              <w:t>ATTRITION</w:t>
            </w:r>
            <w:r>
              <w:rPr>
                <w:rFonts w:hint="eastAsia"/>
                <w:lang w:val="en-GB"/>
              </w:rPr>
              <w:t xml:space="preserve"> </w:t>
            </w:r>
            <w:r>
              <w:rPr>
                <w:lang w:val="en-GB"/>
              </w:rPr>
              <w:t>BIAS</w:t>
            </w:r>
          </w:p>
        </w:tc>
        <w:tc>
          <w:tcPr>
            <w:tcW w:w="1915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tabs>
                <w:tab w:val="left" w:pos="825"/>
              </w:tabs>
              <w:jc w:val="center"/>
              <w:rPr>
                <w:lang w:val="en-GB"/>
              </w:rPr>
            </w:pPr>
            <w:r>
              <w:rPr>
                <w:lang w:val="en-GB"/>
              </w:rPr>
              <w:t>REPORTING</w:t>
            </w:r>
            <w:r>
              <w:rPr>
                <w:rFonts w:hint="eastAsia"/>
                <w:lang w:val="en-GB"/>
              </w:rPr>
              <w:t xml:space="preserve"> </w:t>
            </w:r>
            <w:r>
              <w:rPr>
                <w:lang w:val="en-GB"/>
              </w:rPr>
              <w:t>BIAS</w:t>
            </w:r>
          </w:p>
        </w:tc>
        <w:tc>
          <w:tcPr>
            <w:tcW w:w="1838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tabs>
                <w:tab w:val="left" w:pos="825"/>
              </w:tabs>
              <w:jc w:val="center"/>
              <w:rPr>
                <w:lang w:val="en-GB"/>
              </w:rPr>
            </w:pPr>
            <w:r>
              <w:rPr>
                <w:lang w:val="en-GB"/>
              </w:rPr>
              <w:t>OTHER</w:t>
            </w:r>
            <w:r>
              <w:rPr>
                <w:rFonts w:hint="eastAsia"/>
                <w:lang w:val="en-GB"/>
              </w:rPr>
              <w:t xml:space="preserve"> </w:t>
            </w:r>
            <w:r>
              <w:rPr>
                <w:lang w:val="en-GB"/>
              </w:rPr>
              <w:t>BIAS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215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jc w:val="center"/>
            </w:pPr>
            <w:r>
              <w:t>Neggers, 2008[</w:t>
            </w:r>
            <w:r>
              <w:rPr>
                <w:rFonts w:hint="eastAsia"/>
                <w:lang w:val="en-US" w:eastAsia="zh-CN"/>
              </w:rPr>
              <w:t>22</w:t>
            </w:r>
            <w:r>
              <w:t>]</w:t>
            </w:r>
          </w:p>
        </w:tc>
        <w:tc>
          <w:tcPr>
            <w:tcW w:w="1682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jc w:val="center"/>
              <w:rPr>
                <w:lang w:val="en-GB"/>
              </w:rPr>
            </w:pPr>
            <w:r>
              <w:rPr>
                <w:lang w:val="en-GB"/>
              </w:rPr>
              <w:t>Unclear</w:t>
            </w:r>
          </w:p>
        </w:tc>
        <w:tc>
          <w:tcPr>
            <w:tcW w:w="2138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jc w:val="center"/>
              <w:rPr>
                <w:lang w:val="en-GB"/>
              </w:rPr>
            </w:pPr>
            <w:r>
              <w:rPr>
                <w:lang w:val="en-GB"/>
              </w:rPr>
              <w:t>Unclear</w:t>
            </w:r>
          </w:p>
        </w:tc>
        <w:tc>
          <w:tcPr>
            <w:tcW w:w="1841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jc w:val="center"/>
              <w:rPr>
                <w:lang w:val="en-GB"/>
              </w:rPr>
            </w:pPr>
            <w:r>
              <w:rPr>
                <w:lang w:val="en-GB"/>
              </w:rPr>
              <w:t>High risk</w:t>
            </w:r>
          </w:p>
        </w:tc>
        <w:tc>
          <w:tcPr>
            <w:tcW w:w="180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jc w:val="center"/>
              <w:rPr>
                <w:lang w:val="en-GB"/>
              </w:rPr>
            </w:pPr>
            <w:r>
              <w:rPr>
                <w:lang w:val="en-GB"/>
              </w:rPr>
              <w:t>Low risk</w:t>
            </w:r>
          </w:p>
        </w:tc>
        <w:tc>
          <w:tcPr>
            <w:tcW w:w="191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jc w:val="center"/>
              <w:rPr>
                <w:lang w:val="en-GB"/>
              </w:rPr>
            </w:pPr>
            <w:r>
              <w:rPr>
                <w:lang w:val="en-GB"/>
              </w:rPr>
              <w:t>Unclear</w:t>
            </w:r>
          </w:p>
        </w:tc>
        <w:tc>
          <w:tcPr>
            <w:tcW w:w="1838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jc w:val="center"/>
              <w:rPr>
                <w:lang w:val="en-GB"/>
              </w:rPr>
            </w:pPr>
            <w:r>
              <w:rPr>
                <w:lang w:val="en-GB"/>
              </w:rPr>
              <w:t>Unclear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jc w:val="center"/>
              <w:rPr>
                <w:lang w:val="en-GB"/>
              </w:rPr>
            </w:pPr>
            <w:r>
              <w:t>Trainer, 2009[</w:t>
            </w:r>
            <w:r>
              <w:rPr>
                <w:rFonts w:hint="eastAsia"/>
                <w:lang w:val="en-US" w:eastAsia="zh-CN"/>
              </w:rPr>
              <w:t>21</w:t>
            </w:r>
            <w:r>
              <w:t>]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jc w:val="center"/>
              <w:rPr>
                <w:lang w:val="en-GB"/>
              </w:rPr>
            </w:pPr>
            <w:r>
              <w:rPr>
                <w:lang w:val="en-GB"/>
              </w:rPr>
              <w:t>Unclear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jc w:val="center"/>
              <w:rPr>
                <w:lang w:val="en-GB"/>
              </w:rPr>
            </w:pPr>
            <w:r>
              <w:rPr>
                <w:lang w:val="en-GB"/>
              </w:rPr>
              <w:t>Unclear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jc w:val="center"/>
              <w:rPr>
                <w:lang w:val="en-GB"/>
              </w:rPr>
            </w:pPr>
            <w:r>
              <w:rPr>
                <w:lang w:val="en-GB"/>
              </w:rPr>
              <w:t>High risk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jc w:val="center"/>
              <w:rPr>
                <w:lang w:val="en-GB"/>
              </w:rPr>
            </w:pPr>
            <w:r>
              <w:rPr>
                <w:lang w:val="en-GB"/>
              </w:rPr>
              <w:t>Low risk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jc w:val="center"/>
              <w:rPr>
                <w:lang w:val="en-GB"/>
              </w:rPr>
            </w:pPr>
            <w:r>
              <w:rPr>
                <w:lang w:val="en-GB"/>
              </w:rPr>
              <w:t>High risk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jc w:val="center"/>
              <w:rPr>
                <w:lang w:val="en-GB"/>
              </w:rPr>
            </w:pPr>
            <w:r>
              <w:rPr>
                <w:lang w:val="en-GB"/>
              </w:rPr>
              <w:t>Unclear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jc w:val="center"/>
            </w:pPr>
            <w:r>
              <w:t>Madsen, 2011[</w:t>
            </w:r>
            <w:r>
              <w:rPr>
                <w:rFonts w:hint="eastAsia"/>
                <w:lang w:val="en-US" w:eastAsia="zh-CN"/>
              </w:rPr>
              <w:t>23</w:t>
            </w:r>
            <w:r>
              <w:t>]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jc w:val="center"/>
              <w:rPr>
                <w:lang w:val="en-GB"/>
              </w:rPr>
            </w:pPr>
            <w:r>
              <w:rPr>
                <w:lang w:val="en-GB"/>
              </w:rPr>
              <w:t>Unclear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jc w:val="center"/>
              <w:rPr>
                <w:lang w:val="en-GB"/>
              </w:rPr>
            </w:pPr>
            <w:r>
              <w:rPr>
                <w:lang w:val="en-GB"/>
              </w:rPr>
              <w:t>Unclear</w:t>
            </w:r>
          </w:p>
          <w:p>
            <w:pPr>
              <w:tabs>
                <w:tab w:val="left" w:pos="825"/>
              </w:tabs>
              <w:jc w:val="center"/>
              <w:rPr>
                <w:lang w:val="en-GB"/>
              </w:rPr>
            </w:pP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jc w:val="center"/>
              <w:rPr>
                <w:lang w:val="en-GB"/>
              </w:rPr>
            </w:pPr>
            <w:r>
              <w:rPr>
                <w:lang w:val="en-GB"/>
              </w:rPr>
              <w:t>High risk</w:t>
            </w:r>
          </w:p>
          <w:p>
            <w:pPr>
              <w:tabs>
                <w:tab w:val="left" w:pos="825"/>
              </w:tabs>
              <w:jc w:val="center"/>
              <w:rPr>
                <w:lang w:val="en-GB"/>
              </w:rPr>
            </w:pP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jc w:val="center"/>
              <w:rPr>
                <w:lang w:val="en-GB"/>
              </w:rPr>
            </w:pPr>
            <w:r>
              <w:rPr>
                <w:lang w:val="en-GB"/>
              </w:rPr>
              <w:t>Low risk</w:t>
            </w:r>
          </w:p>
          <w:p>
            <w:pPr>
              <w:tabs>
                <w:tab w:val="left" w:pos="825"/>
              </w:tabs>
              <w:jc w:val="center"/>
              <w:rPr>
                <w:lang w:val="en-GB"/>
              </w:rPr>
            </w:pP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jc w:val="center"/>
              <w:rPr>
                <w:lang w:val="en-GB"/>
              </w:rPr>
            </w:pPr>
            <w:r>
              <w:rPr>
                <w:lang w:val="en-GB"/>
              </w:rPr>
              <w:t>Low risk</w:t>
            </w:r>
          </w:p>
          <w:p>
            <w:pPr>
              <w:tabs>
                <w:tab w:val="left" w:pos="825"/>
              </w:tabs>
              <w:jc w:val="center"/>
              <w:rPr>
                <w:lang w:val="en-GB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jc w:val="center"/>
              <w:rPr>
                <w:lang w:val="en-GB"/>
              </w:rPr>
            </w:pPr>
            <w:r>
              <w:rPr>
                <w:lang w:val="en-GB"/>
              </w:rPr>
              <w:t>Unclear</w:t>
            </w:r>
          </w:p>
          <w:p>
            <w:pPr>
              <w:tabs>
                <w:tab w:val="left" w:pos="825"/>
              </w:tabs>
              <w:jc w:val="center"/>
              <w:rPr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Colao, 2019[24]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Unclear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Unclear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High risk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Low risk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High risk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Unclear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215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tabs>
                <w:tab w:val="left" w:pos="825"/>
              </w:tabs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Muhammad, 2018[25]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tabs>
                <w:tab w:val="left" w:pos="825"/>
              </w:tabs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Unclear</w:t>
            </w:r>
          </w:p>
        </w:tc>
        <w:tc>
          <w:tcPr>
            <w:tcW w:w="213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tabs>
                <w:tab w:val="left" w:pos="825"/>
              </w:tabs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Unclear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tabs>
                <w:tab w:val="left" w:pos="825"/>
              </w:tabs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High risk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tabs>
                <w:tab w:val="left" w:pos="825"/>
              </w:tabs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Low risk</w:t>
            </w:r>
          </w:p>
        </w:tc>
        <w:tc>
          <w:tcPr>
            <w:tcW w:w="1915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tabs>
                <w:tab w:val="left" w:pos="825"/>
              </w:tabs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High risk</w:t>
            </w:r>
          </w:p>
        </w:tc>
        <w:tc>
          <w:tcPr>
            <w:tcW w:w="183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tabs>
                <w:tab w:val="left" w:pos="825"/>
              </w:tabs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Unclear</w:t>
            </w:r>
          </w:p>
        </w:tc>
      </w:tr>
    </w:tbl>
    <w:p>
      <w:pPr>
        <w:tabs>
          <w:tab w:val="left" w:pos="825"/>
        </w:tabs>
        <w:rPr>
          <w:b/>
          <w:lang w:val="en-GB"/>
        </w:rPr>
      </w:pPr>
    </w:p>
    <w:p>
      <w:pPr>
        <w:tabs>
          <w:tab w:val="left" w:pos="825"/>
        </w:tabs>
        <w:rPr>
          <w:b/>
          <w:lang w:val="en-GB"/>
        </w:rPr>
      </w:pPr>
    </w:p>
    <w:p>
      <w:pPr>
        <w:tabs>
          <w:tab w:val="left" w:pos="825"/>
        </w:tabs>
        <w:rPr>
          <w:b/>
          <w:lang w:val="en-GB"/>
        </w:rPr>
      </w:pPr>
    </w:p>
    <w:p>
      <w:pPr>
        <w:tabs>
          <w:tab w:val="left" w:pos="825"/>
        </w:tabs>
        <w:rPr>
          <w:b/>
          <w:lang w:val="en-GB"/>
        </w:rPr>
      </w:pPr>
    </w:p>
    <w:p>
      <w:pPr>
        <w:tabs>
          <w:tab w:val="left" w:pos="825"/>
        </w:tabs>
        <w:rPr>
          <w:b/>
          <w:lang w:val="en-GB"/>
        </w:rPr>
      </w:pPr>
      <w:r>
        <w:rPr>
          <w:rFonts w:hint="eastAsia"/>
          <w:b/>
          <w:lang w:val="en-US" w:eastAsia="zh-CN"/>
        </w:rPr>
        <w:t>Additional</w:t>
      </w:r>
      <w:r>
        <w:rPr>
          <w:b/>
          <w:lang w:val="en-GB"/>
        </w:rPr>
        <w:t xml:space="preserve"> Table 3. Assessment of study quality using modified Methodological Index for Non-randomized Studies for non-comparative studies.</w:t>
      </w:r>
    </w:p>
    <w:tbl>
      <w:tblPr>
        <w:tblStyle w:val="5"/>
        <w:tblW w:w="15602" w:type="dxa"/>
        <w:tblInd w:w="-11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9"/>
        <w:gridCol w:w="1187"/>
        <w:gridCol w:w="1559"/>
        <w:gridCol w:w="1701"/>
        <w:gridCol w:w="1987"/>
        <w:gridCol w:w="1758"/>
        <w:gridCol w:w="1660"/>
        <w:gridCol w:w="1223"/>
        <w:gridCol w:w="1452"/>
        <w:gridCol w:w="10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4" w:hRule="atLeast"/>
        </w:trPr>
        <w:tc>
          <w:tcPr>
            <w:tcW w:w="1979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tabs>
                <w:tab w:val="left" w:pos="825"/>
              </w:tabs>
              <w:rPr>
                <w:lang w:val="en-GB"/>
              </w:rPr>
            </w:pPr>
            <w:r>
              <w:rPr>
                <w:rFonts w:hint="eastAsia"/>
                <w:lang w:val="en-GB"/>
              </w:rPr>
              <w:t>A</w:t>
            </w:r>
            <w:r>
              <w:rPr>
                <w:lang w:val="en-GB"/>
              </w:rPr>
              <w:t>uthor, year</w:t>
            </w:r>
          </w:p>
        </w:tc>
        <w:tc>
          <w:tcPr>
            <w:tcW w:w="1187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tabs>
                <w:tab w:val="left" w:pos="825"/>
              </w:tabs>
              <w:jc w:val="left"/>
              <w:rPr>
                <w:lang w:val="en-GB"/>
              </w:rPr>
            </w:pPr>
            <w:r>
              <w:rPr>
                <w:rFonts w:hint="eastAsia"/>
                <w:lang w:val="en-GB"/>
              </w:rPr>
              <w:t>A</w:t>
            </w:r>
            <w:r>
              <w:rPr>
                <w:lang w:val="en-GB"/>
              </w:rPr>
              <w:t xml:space="preserve"> clearly stated aim</w:t>
            </w:r>
          </w:p>
        </w:tc>
        <w:tc>
          <w:tcPr>
            <w:tcW w:w="1559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tabs>
                <w:tab w:val="left" w:pos="825"/>
              </w:tabs>
              <w:jc w:val="left"/>
              <w:rPr>
                <w:lang w:val="en-GB"/>
              </w:rPr>
            </w:pPr>
            <w:r>
              <w:rPr>
                <w:lang w:val="en-GB"/>
              </w:rPr>
              <w:t>Study population clearly defined</w:t>
            </w:r>
          </w:p>
        </w:tc>
        <w:tc>
          <w:tcPr>
            <w:tcW w:w="1701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tabs>
                <w:tab w:val="left" w:pos="825"/>
              </w:tabs>
              <w:rPr>
                <w:lang w:val="en-GB"/>
              </w:rPr>
            </w:pPr>
            <w:r>
              <w:rPr>
                <w:rFonts w:hint="eastAsia"/>
                <w:lang w:val="en-GB"/>
              </w:rPr>
              <w:t>P</w:t>
            </w:r>
            <w:r>
              <w:rPr>
                <w:lang w:val="en-GB"/>
              </w:rPr>
              <w:t>rospective collection of data</w:t>
            </w:r>
          </w:p>
        </w:tc>
        <w:tc>
          <w:tcPr>
            <w:tcW w:w="1987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tabs>
                <w:tab w:val="left" w:pos="825"/>
              </w:tabs>
              <w:rPr>
                <w:lang w:val="en-GB"/>
              </w:rPr>
            </w:pPr>
            <w:r>
              <w:rPr>
                <w:rFonts w:hint="eastAsia"/>
                <w:lang w:val="en-GB"/>
              </w:rPr>
              <w:t>E</w:t>
            </w:r>
            <w:r>
              <w:rPr>
                <w:lang w:val="en-GB"/>
              </w:rPr>
              <w:t>ndpoints appropriate to the aim of the study</w:t>
            </w:r>
          </w:p>
        </w:tc>
        <w:tc>
          <w:tcPr>
            <w:tcW w:w="1758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tabs>
                <w:tab w:val="left" w:pos="825"/>
              </w:tabs>
              <w:rPr>
                <w:lang w:val="en-GB"/>
              </w:rPr>
            </w:pPr>
            <w:r>
              <w:rPr>
                <w:rFonts w:hint="eastAsia"/>
                <w:lang w:val="en-GB"/>
              </w:rPr>
              <w:t>U</w:t>
            </w:r>
            <w:r>
              <w:rPr>
                <w:lang w:val="en-GB"/>
              </w:rPr>
              <w:t>nbiased assessment of the study endpoints</w:t>
            </w:r>
          </w:p>
        </w:tc>
        <w:tc>
          <w:tcPr>
            <w:tcW w:w="1660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tabs>
                <w:tab w:val="left" w:pos="825"/>
              </w:tabs>
              <w:rPr>
                <w:lang w:val="en-GB"/>
              </w:rPr>
            </w:pPr>
            <w:r>
              <w:rPr>
                <w:rFonts w:hint="eastAsia"/>
                <w:lang w:val="en-GB"/>
              </w:rPr>
              <w:t>F</w:t>
            </w:r>
            <w:r>
              <w:rPr>
                <w:lang w:val="en-GB"/>
              </w:rPr>
              <w:t>ollow-up period appropriate to the aim of the study</w:t>
            </w:r>
          </w:p>
        </w:tc>
        <w:tc>
          <w:tcPr>
            <w:tcW w:w="1223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tabs>
                <w:tab w:val="left" w:pos="825"/>
              </w:tabs>
              <w:jc w:val="left"/>
              <w:rPr>
                <w:lang w:val="en-GB"/>
              </w:rPr>
            </w:pPr>
            <w:r>
              <w:rPr>
                <w:rFonts w:hint="eastAsia"/>
                <w:lang w:val="en-GB"/>
              </w:rPr>
              <w:t>L</w:t>
            </w:r>
            <w:r>
              <w:rPr>
                <w:lang w:val="en-GB"/>
              </w:rPr>
              <w:t>oss to follow up less than 5%</w:t>
            </w:r>
          </w:p>
        </w:tc>
        <w:tc>
          <w:tcPr>
            <w:tcW w:w="1452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tabs>
                <w:tab w:val="left" w:pos="825"/>
              </w:tabs>
              <w:rPr>
                <w:lang w:val="en-GB"/>
              </w:rPr>
            </w:pPr>
            <w:r>
              <w:rPr>
                <w:rFonts w:hint="eastAsia"/>
                <w:lang w:val="en-GB"/>
              </w:rPr>
              <w:t>P</w:t>
            </w:r>
            <w:r>
              <w:rPr>
                <w:lang w:val="en-GB"/>
              </w:rPr>
              <w:t xml:space="preserve">rospective calculation of the study size </w:t>
            </w:r>
          </w:p>
        </w:tc>
        <w:tc>
          <w:tcPr>
            <w:tcW w:w="1096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tabs>
                <w:tab w:val="left" w:pos="825"/>
              </w:tabs>
              <w:jc w:val="left"/>
              <w:rPr>
                <w:lang w:val="en-GB"/>
              </w:rPr>
            </w:pPr>
            <w:r>
              <w:rPr>
                <w:lang w:val="en-GB"/>
              </w:rPr>
              <w:t xml:space="preserve">Total </w:t>
            </w:r>
            <w:r>
              <w:rPr>
                <w:rFonts w:hint="eastAsia"/>
                <w:lang w:val="en-GB"/>
              </w:rPr>
              <w:t>S</w:t>
            </w:r>
            <w:r>
              <w:rPr>
                <w:lang w:val="en-GB"/>
              </w:rPr>
              <w:t>core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979" w:type="dxa"/>
            <w:tcBorders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rPr>
                <w:lang w:val="en-GB"/>
              </w:rPr>
            </w:pPr>
            <w:r>
              <w:rPr>
                <w:rFonts w:hint="eastAsia"/>
                <w:lang w:val="en-GB"/>
              </w:rPr>
              <w:t>J</w:t>
            </w:r>
            <w:r>
              <w:rPr>
                <w:lang w:val="en-GB"/>
              </w:rPr>
              <w:t>orgensen, 2005[</w:t>
            </w:r>
            <w:r>
              <w:rPr>
                <w:rFonts w:hint="eastAsia"/>
                <w:lang w:val="en-US" w:eastAsia="zh-CN"/>
              </w:rPr>
              <w:t>28</w:t>
            </w:r>
            <w:r>
              <w:rPr>
                <w:lang w:val="en-GB"/>
              </w:rPr>
              <w:t>]</w:t>
            </w:r>
          </w:p>
        </w:tc>
        <w:tc>
          <w:tcPr>
            <w:tcW w:w="1187" w:type="dxa"/>
            <w:tcBorders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2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2</w:t>
            </w:r>
          </w:p>
        </w:tc>
        <w:tc>
          <w:tcPr>
            <w:tcW w:w="1987" w:type="dxa"/>
            <w:tcBorders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2</w:t>
            </w:r>
          </w:p>
        </w:tc>
        <w:tc>
          <w:tcPr>
            <w:tcW w:w="1758" w:type="dxa"/>
            <w:tcBorders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0</w:t>
            </w:r>
          </w:p>
        </w:tc>
        <w:tc>
          <w:tcPr>
            <w:tcW w:w="1660" w:type="dxa"/>
            <w:tcBorders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2</w:t>
            </w:r>
          </w:p>
        </w:tc>
        <w:tc>
          <w:tcPr>
            <w:tcW w:w="1223" w:type="dxa"/>
            <w:tcBorders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</w:p>
        </w:tc>
        <w:tc>
          <w:tcPr>
            <w:tcW w:w="1452" w:type="dxa"/>
            <w:tcBorders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</w:p>
        </w:tc>
        <w:tc>
          <w:tcPr>
            <w:tcW w:w="1096" w:type="dxa"/>
            <w:tcBorders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  <w:r>
              <w:rPr>
                <w:b/>
                <w:lang w:val="en-GB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 xml:space="preserve">Van der </w:t>
            </w:r>
            <w:r>
              <w:rPr>
                <w:rFonts w:hint="eastAsia"/>
                <w:sz w:val="18"/>
                <w:szCs w:val="18"/>
                <w:lang w:val="en-GB"/>
              </w:rPr>
              <w:t>L</w:t>
            </w:r>
            <w:r>
              <w:rPr>
                <w:sz w:val="18"/>
                <w:szCs w:val="18"/>
                <w:lang w:val="en-GB"/>
              </w:rPr>
              <w:t>ely, 2011[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26</w:t>
            </w:r>
            <w:r>
              <w:rPr>
                <w:sz w:val="18"/>
                <w:szCs w:val="18"/>
                <w:lang w:val="en-GB"/>
              </w:rPr>
              <w:t>]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2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2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2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  <w:r>
              <w:rPr>
                <w:b/>
                <w:lang w:val="en-GB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</w:trPr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rPr>
                <w:lang w:val="en-GB"/>
              </w:rPr>
            </w:pPr>
            <w:r>
              <w:rPr>
                <w:rFonts w:hint="eastAsia"/>
                <w:lang w:val="en-GB"/>
              </w:rPr>
              <w:t>A</w:t>
            </w:r>
            <w:r>
              <w:rPr>
                <w:lang w:val="en-GB"/>
              </w:rPr>
              <w:t>uriemma, 2016[</w:t>
            </w:r>
            <w:r>
              <w:rPr>
                <w:rFonts w:hint="eastAsia"/>
                <w:lang w:val="en-US" w:eastAsia="zh-CN"/>
              </w:rPr>
              <w:t>27</w:t>
            </w:r>
            <w:r>
              <w:rPr>
                <w:lang w:val="en-GB"/>
              </w:rPr>
              <w:t>]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2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2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2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25"/>
              </w:tabs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  <w:r>
              <w:rPr>
                <w:b/>
                <w:lang w:val="en-GB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</w:trPr>
        <w:tc>
          <w:tcPr>
            <w:tcW w:w="1979" w:type="dxa"/>
            <w:tcBorders>
              <w:top w:val="nil"/>
              <w:left w:val="nil"/>
              <w:right w:val="nil"/>
            </w:tcBorders>
          </w:tcPr>
          <w:p>
            <w:pPr>
              <w:tabs>
                <w:tab w:val="left" w:pos="825"/>
              </w:tabs>
              <w:rPr>
                <w:rFonts w:hint="eastAsia"/>
                <w:lang w:val="en-GB"/>
              </w:rPr>
            </w:pPr>
            <w:r>
              <w:rPr>
                <w:rFonts w:hint="eastAsia"/>
                <w:lang w:val="en-GB"/>
              </w:rPr>
              <w:t>U</w:t>
            </w:r>
            <w:r>
              <w:rPr>
                <w:lang w:val="en-GB"/>
              </w:rPr>
              <w:t>rbani, 2013[2</w:t>
            </w:r>
            <w:bookmarkStart w:id="0" w:name="_GoBack"/>
            <w:bookmarkEnd w:id="0"/>
            <w:r>
              <w:rPr>
                <w:lang w:val="en-GB"/>
              </w:rPr>
              <w:t>]</w:t>
            </w:r>
          </w:p>
        </w:tc>
        <w:tc>
          <w:tcPr>
            <w:tcW w:w="1187" w:type="dxa"/>
            <w:tcBorders>
              <w:top w:val="nil"/>
              <w:left w:val="nil"/>
              <w:right w:val="nil"/>
            </w:tcBorders>
          </w:tcPr>
          <w:p>
            <w:pPr>
              <w:tabs>
                <w:tab w:val="left" w:pos="825"/>
              </w:tabs>
              <w:rPr>
                <w:rFonts w:hint="eastAsia"/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</w:tcPr>
          <w:p>
            <w:pPr>
              <w:tabs>
                <w:tab w:val="left" w:pos="825"/>
              </w:tabs>
              <w:rPr>
                <w:rFonts w:hint="eastAsia"/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</w:tcPr>
          <w:p>
            <w:pPr>
              <w:tabs>
                <w:tab w:val="left" w:pos="825"/>
              </w:tabs>
              <w:rPr>
                <w:rFonts w:hint="eastAsia"/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2</w:t>
            </w:r>
          </w:p>
        </w:tc>
        <w:tc>
          <w:tcPr>
            <w:tcW w:w="1987" w:type="dxa"/>
            <w:tcBorders>
              <w:top w:val="nil"/>
              <w:left w:val="nil"/>
              <w:right w:val="nil"/>
            </w:tcBorders>
          </w:tcPr>
          <w:p>
            <w:pPr>
              <w:tabs>
                <w:tab w:val="left" w:pos="825"/>
              </w:tabs>
              <w:rPr>
                <w:rFonts w:hint="eastAsia"/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2</w:t>
            </w:r>
          </w:p>
        </w:tc>
        <w:tc>
          <w:tcPr>
            <w:tcW w:w="1758" w:type="dxa"/>
            <w:tcBorders>
              <w:top w:val="nil"/>
              <w:left w:val="nil"/>
              <w:right w:val="nil"/>
            </w:tcBorders>
          </w:tcPr>
          <w:p>
            <w:pPr>
              <w:tabs>
                <w:tab w:val="left" w:pos="825"/>
              </w:tabs>
              <w:rPr>
                <w:rFonts w:hint="eastAsia"/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right w:val="nil"/>
            </w:tcBorders>
          </w:tcPr>
          <w:p>
            <w:pPr>
              <w:tabs>
                <w:tab w:val="left" w:pos="825"/>
              </w:tabs>
              <w:rPr>
                <w:rFonts w:hint="eastAsia"/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2</w:t>
            </w:r>
          </w:p>
        </w:tc>
        <w:tc>
          <w:tcPr>
            <w:tcW w:w="1223" w:type="dxa"/>
            <w:tcBorders>
              <w:top w:val="nil"/>
              <w:left w:val="nil"/>
              <w:right w:val="nil"/>
            </w:tcBorders>
          </w:tcPr>
          <w:p>
            <w:pPr>
              <w:tabs>
                <w:tab w:val="left" w:pos="825"/>
              </w:tabs>
              <w:rPr>
                <w:rFonts w:hint="eastAsia"/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2</w:t>
            </w:r>
          </w:p>
        </w:tc>
        <w:tc>
          <w:tcPr>
            <w:tcW w:w="1452" w:type="dxa"/>
            <w:tcBorders>
              <w:top w:val="nil"/>
              <w:left w:val="nil"/>
              <w:right w:val="nil"/>
            </w:tcBorders>
          </w:tcPr>
          <w:p>
            <w:pPr>
              <w:tabs>
                <w:tab w:val="left" w:pos="825"/>
              </w:tabs>
              <w:rPr>
                <w:rFonts w:hint="eastAsia"/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0</w:t>
            </w:r>
          </w:p>
        </w:tc>
        <w:tc>
          <w:tcPr>
            <w:tcW w:w="1096" w:type="dxa"/>
            <w:tcBorders>
              <w:top w:val="nil"/>
              <w:left w:val="nil"/>
              <w:right w:val="nil"/>
            </w:tcBorders>
          </w:tcPr>
          <w:p>
            <w:pPr>
              <w:tabs>
                <w:tab w:val="left" w:pos="825"/>
              </w:tabs>
              <w:rPr>
                <w:rFonts w:hint="eastAsia"/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  <w:r>
              <w:rPr>
                <w:b/>
                <w:lang w:val="en-GB"/>
              </w:rPr>
              <w:t>2</w:t>
            </w:r>
          </w:p>
        </w:tc>
      </w:tr>
    </w:tbl>
    <w:p>
      <w:pPr>
        <w:tabs>
          <w:tab w:val="left" w:pos="825"/>
        </w:tabs>
        <w:rPr>
          <w:sz w:val="18"/>
          <w:szCs w:val="18"/>
        </w:rPr>
      </w:pPr>
      <w:r>
        <w:rPr>
          <w:rFonts w:hint="eastAsia"/>
          <w:lang w:val="en-GB"/>
        </w:rPr>
        <w:t>*</w:t>
      </w:r>
      <w:r>
        <w:rPr>
          <w:lang w:val="en-GB"/>
        </w:rPr>
        <w:t>The items are scored 0 (not reported), 1 (reported but inadequate) or 2 (reported and adequate).</w:t>
      </w:r>
    </w:p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p/>
    <w:sectPr>
      <w:pgSz w:w="16839" w:h="23814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3B42"/>
    <w:rsid w:val="00046AFC"/>
    <w:rsid w:val="00086B87"/>
    <w:rsid w:val="0009104F"/>
    <w:rsid w:val="00093D0F"/>
    <w:rsid w:val="000D3354"/>
    <w:rsid w:val="001251B7"/>
    <w:rsid w:val="00152F10"/>
    <w:rsid w:val="00153687"/>
    <w:rsid w:val="0015722E"/>
    <w:rsid w:val="00172F2B"/>
    <w:rsid w:val="001B7531"/>
    <w:rsid w:val="001C2E78"/>
    <w:rsid w:val="001D66B7"/>
    <w:rsid w:val="00215320"/>
    <w:rsid w:val="00247851"/>
    <w:rsid w:val="00255247"/>
    <w:rsid w:val="002606B4"/>
    <w:rsid w:val="002F7A0F"/>
    <w:rsid w:val="00340616"/>
    <w:rsid w:val="00356015"/>
    <w:rsid w:val="003F4432"/>
    <w:rsid w:val="00433AD5"/>
    <w:rsid w:val="00436876"/>
    <w:rsid w:val="00444CA0"/>
    <w:rsid w:val="004670FE"/>
    <w:rsid w:val="004A422C"/>
    <w:rsid w:val="00543029"/>
    <w:rsid w:val="005C704D"/>
    <w:rsid w:val="006139D9"/>
    <w:rsid w:val="006324BB"/>
    <w:rsid w:val="00697B0F"/>
    <w:rsid w:val="006B6EF5"/>
    <w:rsid w:val="00737A18"/>
    <w:rsid w:val="0075029C"/>
    <w:rsid w:val="007742EA"/>
    <w:rsid w:val="007B62A5"/>
    <w:rsid w:val="007C4774"/>
    <w:rsid w:val="00845325"/>
    <w:rsid w:val="00865D21"/>
    <w:rsid w:val="0087239D"/>
    <w:rsid w:val="00886078"/>
    <w:rsid w:val="008B6E2C"/>
    <w:rsid w:val="008C02C6"/>
    <w:rsid w:val="008F74FB"/>
    <w:rsid w:val="0096714D"/>
    <w:rsid w:val="009F42B1"/>
    <w:rsid w:val="009F6CBA"/>
    <w:rsid w:val="00A5446D"/>
    <w:rsid w:val="00A93B42"/>
    <w:rsid w:val="00AE0EFD"/>
    <w:rsid w:val="00AE188B"/>
    <w:rsid w:val="00B07309"/>
    <w:rsid w:val="00B76698"/>
    <w:rsid w:val="00B77090"/>
    <w:rsid w:val="00BB76DB"/>
    <w:rsid w:val="00BC57E2"/>
    <w:rsid w:val="00BF3ECD"/>
    <w:rsid w:val="00C225FC"/>
    <w:rsid w:val="00C37B5F"/>
    <w:rsid w:val="00C94B55"/>
    <w:rsid w:val="00CB7654"/>
    <w:rsid w:val="00CC4119"/>
    <w:rsid w:val="00CD2702"/>
    <w:rsid w:val="00CF1E21"/>
    <w:rsid w:val="00D6045E"/>
    <w:rsid w:val="00D80441"/>
    <w:rsid w:val="00DE3884"/>
    <w:rsid w:val="00DE49FA"/>
    <w:rsid w:val="00DF662C"/>
    <w:rsid w:val="00EB7436"/>
    <w:rsid w:val="00EF717E"/>
    <w:rsid w:val="00F036DF"/>
    <w:rsid w:val="00F04699"/>
    <w:rsid w:val="00F05364"/>
    <w:rsid w:val="00F27965"/>
    <w:rsid w:val="00F5041B"/>
    <w:rsid w:val="00F51703"/>
    <w:rsid w:val="00F5764D"/>
    <w:rsid w:val="00F7617C"/>
    <w:rsid w:val="00FC6CD3"/>
    <w:rsid w:val="072A12D2"/>
    <w:rsid w:val="275D730C"/>
    <w:rsid w:val="71254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qFormat="1"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  <w:style w:type="table" w:customStyle="1" w:styleId="9">
    <w:name w:val="Griglia tabella1"/>
    <w:basedOn w:val="4"/>
    <w:qFormat/>
    <w:uiPriority w:val="59"/>
    <w:rPr>
      <w:kern w:val="0"/>
      <w:sz w:val="22"/>
      <w:lang w:val="it-IT" w:eastAsia="it-IT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385</Words>
  <Characters>2198</Characters>
  <Lines>18</Lines>
  <Paragraphs>5</Paragraphs>
  <TotalTime>5</TotalTime>
  <ScaleCrop>false</ScaleCrop>
  <LinksUpToDate>false</LinksUpToDate>
  <CharactersWithSpaces>2578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2019-02-18T06:16:00Z</dcterms:created>
  <dc:creator>南益</dc:creator>
  <cp:lastModifiedBy>lld</cp:lastModifiedBy>
  <dcterms:modified xsi:type="dcterms:W3CDTF">2020-02-21T06:27:10Z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